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6A" w:rsidRDefault="00F5126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5126A" w:rsidRDefault="00F5126A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12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26A" w:rsidRDefault="00F512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26A" w:rsidRDefault="00F512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26A" w:rsidRDefault="00F5126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24.12.2024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26A" w:rsidRDefault="00F5126A">
            <w:pPr>
              <w:pStyle w:val="ConsPlusNormal"/>
            </w:pPr>
          </w:p>
        </w:tc>
      </w:tr>
    </w:tbl>
    <w:p w:rsidR="00F5126A" w:rsidRDefault="00F5126A">
      <w:pPr>
        <w:pStyle w:val="ConsPlusTitle"/>
        <w:spacing w:before="280"/>
        <w:jc w:val="center"/>
      </w:pPr>
      <w:r>
        <w:t>ПРАКТИКА ФАС ПО ЗАКОНУ N 44-ФЗ: КАКИЕ ОШИБКИ ОТМЕТИЛА СЛУЖБА</w:t>
      </w:r>
    </w:p>
    <w:p w:rsidR="00F5126A" w:rsidRDefault="00F5126A">
      <w:pPr>
        <w:pStyle w:val="ConsPlusTitle"/>
        <w:jc w:val="center"/>
      </w:pPr>
      <w:r>
        <w:t>В ОБЗОРАХ ЗА ОКТЯБРЬ 2024 ГОДА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Normal"/>
        <w:ind w:firstLine="540"/>
        <w:jc w:val="both"/>
      </w:pPr>
      <w:r>
        <w:t xml:space="preserve">Госзаказчики формировали слишком крупные лоты, устанавливали неверный порядок оценки и незаконно отстраняли участников от закупок </w:t>
      </w:r>
      <w:proofErr w:type="gramStart"/>
      <w:r>
        <w:t>с</w:t>
      </w:r>
      <w:proofErr w:type="gramEnd"/>
      <w:r>
        <w:t xml:space="preserve"> универсальной предквалификацией. Подробнее об этих нарушениях читайте в обзоре.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Title"/>
        <w:ind w:firstLine="540"/>
        <w:jc w:val="both"/>
        <w:outlineLvl w:val="0"/>
      </w:pPr>
      <w:r>
        <w:t>Слишком крупный лот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Normal"/>
        <w:ind w:firstLine="540"/>
        <w:jc w:val="both"/>
      </w:pPr>
      <w:r>
        <w:t xml:space="preserve">Заказчик </w:t>
      </w:r>
      <w:hyperlink r:id="rId6">
        <w:r>
          <w:rPr>
            <w:color w:val="0000FF"/>
          </w:rPr>
          <w:t>проводил</w:t>
        </w:r>
      </w:hyperlink>
      <w:r>
        <w:t xml:space="preserve"> открытый конкурс на работы по содержанию региональных и межмуниципальных дорог. НМЦК составила 1,8 </w:t>
      </w:r>
      <w:proofErr w:type="gramStart"/>
      <w:r>
        <w:t>млрд</w:t>
      </w:r>
      <w:proofErr w:type="gramEnd"/>
      <w:r>
        <w:t xml:space="preserve"> руб. К участникам предъявляли </w:t>
      </w:r>
      <w:hyperlink r:id="rId7">
        <w:r>
          <w:rPr>
            <w:color w:val="0000FF"/>
          </w:rPr>
          <w:t>доптребования</w:t>
        </w:r>
      </w:hyperlink>
      <w:r>
        <w:t>.</w:t>
      </w:r>
    </w:p>
    <w:p w:rsidR="00F5126A" w:rsidRDefault="00F5126A">
      <w:pPr>
        <w:pStyle w:val="ConsPlusNormal"/>
        <w:spacing w:before="220"/>
        <w:ind w:firstLine="540"/>
        <w:jc w:val="both"/>
      </w:pPr>
      <w:r>
        <w:t xml:space="preserve">ФАС </w:t>
      </w:r>
      <w:hyperlink r:id="rId8">
        <w:r>
          <w:rPr>
            <w:color w:val="0000FF"/>
          </w:rPr>
          <w:t>сочла</w:t>
        </w:r>
      </w:hyperlink>
      <w:r>
        <w:t xml:space="preserve"> объект закупки слишком крупным. Заказчик не учел </w:t>
      </w:r>
      <w:hyperlink r:id="rId9">
        <w:r>
          <w:rPr>
            <w:color w:val="0000FF"/>
          </w:rPr>
          <w:t>критерии</w:t>
        </w:r>
      </w:hyperlink>
      <w:r>
        <w:t xml:space="preserve"> формирования лотов для подобных закупок:</w:t>
      </w:r>
    </w:p>
    <w:p w:rsidR="00F5126A" w:rsidRDefault="00F5126A">
      <w:pPr>
        <w:pStyle w:val="ConsPlusNormal"/>
        <w:spacing w:before="220"/>
        <w:ind w:firstLine="540"/>
        <w:jc w:val="both"/>
      </w:pPr>
      <w:r>
        <w:t xml:space="preserve">- НМЦ лота для работ на дорогах регионального значения в I - III климатических зонах не должна превышать </w:t>
      </w:r>
      <w:hyperlink r:id="rId10">
        <w:r>
          <w:rPr>
            <w:color w:val="0000FF"/>
          </w:rPr>
          <w:t xml:space="preserve">1,2 </w:t>
        </w:r>
        <w:proofErr w:type="gramStart"/>
        <w:r>
          <w:rPr>
            <w:color w:val="0000FF"/>
          </w:rPr>
          <w:t>млрд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 Тот же </w:t>
      </w:r>
      <w:hyperlink r:id="rId11">
        <w:r>
          <w:rPr>
            <w:color w:val="0000FF"/>
          </w:rPr>
          <w:t>лимит</w:t>
        </w:r>
      </w:hyperlink>
      <w:r>
        <w:t xml:space="preserve"> действует для работ на дорогах городского значения, если в населенном пункте проживает не больше 1 млн чел.;</w:t>
      </w:r>
    </w:p>
    <w:p w:rsidR="00F5126A" w:rsidRDefault="00F5126A">
      <w:pPr>
        <w:pStyle w:val="ConsPlusNormal"/>
        <w:spacing w:before="220"/>
        <w:ind w:firstLine="540"/>
        <w:jc w:val="both"/>
      </w:pPr>
      <w:r>
        <w:t xml:space="preserve">- крупный лот </w:t>
      </w:r>
      <w:hyperlink r:id="rId12">
        <w:r>
          <w:rPr>
            <w:color w:val="0000FF"/>
          </w:rPr>
          <w:t>увеличивает</w:t>
        </w:r>
      </w:hyperlink>
      <w:r>
        <w:t xml:space="preserve"> объем работ и налагает на контрагента дополнительную финансовую нагрузку в виде повышенного размера обеспечения. Это ограничивает конкуренцию, поскольку приводит к отказу заинтересованных лиц от участия в конкурсе.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Title"/>
        <w:ind w:firstLine="540"/>
        <w:jc w:val="both"/>
        <w:outlineLvl w:val="0"/>
      </w:pPr>
      <w:r>
        <w:t>Неверный порядок оценки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Normal"/>
        <w:ind w:firstLine="540"/>
        <w:jc w:val="both"/>
      </w:pPr>
      <w:r>
        <w:t xml:space="preserve">Заказчик </w:t>
      </w:r>
      <w:hyperlink r:id="rId13">
        <w:r>
          <w:rPr>
            <w:color w:val="0000FF"/>
          </w:rPr>
          <w:t>приобретал</w:t>
        </w:r>
      </w:hyperlink>
      <w:r>
        <w:t xml:space="preserve"> работы по реконструкции очистных сооружений и установил </w:t>
      </w:r>
      <w:hyperlink r:id="rId14">
        <w:r>
          <w:rPr>
            <w:color w:val="0000FF"/>
          </w:rPr>
          <w:t>доптребования</w:t>
        </w:r>
      </w:hyperlink>
      <w:r>
        <w:t xml:space="preserve">. При оценке квалификации применялся </w:t>
      </w:r>
      <w:hyperlink r:id="rId15">
        <w:r>
          <w:rPr>
            <w:color w:val="0000FF"/>
          </w:rPr>
          <w:t>показатель</w:t>
        </w:r>
      </w:hyperlink>
      <w:r>
        <w:t xml:space="preserve"> "Наибольшая цена исполненного договора". Предельное минимальное значение характеристики составило </w:t>
      </w:r>
      <w:hyperlink r:id="rId16">
        <w:r>
          <w:rPr>
            <w:color w:val="0000FF"/>
          </w:rPr>
          <w:t>100% НМЦК</w:t>
        </w:r>
      </w:hyperlink>
      <w:r>
        <w:t>.</w:t>
      </w:r>
    </w:p>
    <w:p w:rsidR="00F5126A" w:rsidRDefault="00F5126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Контролеры</w:t>
        </w:r>
      </w:hyperlink>
      <w:r>
        <w:t xml:space="preserve"> и </w:t>
      </w:r>
      <w:hyperlink r:id="rId18">
        <w:r>
          <w:rPr>
            <w:color w:val="0000FF"/>
          </w:rPr>
          <w:t>суд</w:t>
        </w:r>
      </w:hyperlink>
      <w:r>
        <w:t xml:space="preserve"> признали порядок оценки некорректным. Предельное минимальное значение характеристики в порядке оценки не должно превышать порог цены подтверждающего договора по </w:t>
      </w:r>
      <w:hyperlink r:id="rId19">
        <w:r>
          <w:rPr>
            <w:color w:val="0000FF"/>
          </w:rPr>
          <w:t>Постановлению N 2571</w:t>
        </w:r>
      </w:hyperlink>
      <w:r>
        <w:t>.</w:t>
      </w:r>
    </w:p>
    <w:p w:rsidR="00F5126A" w:rsidRDefault="00F5126A">
      <w:pPr>
        <w:pStyle w:val="ConsPlusNormal"/>
        <w:spacing w:before="220"/>
        <w:ind w:firstLine="540"/>
        <w:jc w:val="both"/>
      </w:pPr>
      <w:r>
        <w:t xml:space="preserve">Ранее ФАС высказывала </w:t>
      </w:r>
      <w:hyperlink r:id="rId20">
        <w:r>
          <w:rPr>
            <w:color w:val="0000FF"/>
          </w:rPr>
          <w:t>мнение</w:t>
        </w:r>
      </w:hyperlink>
      <w:r>
        <w:t xml:space="preserve"> о том, что предельное минимальное значение характеристики в подобном случае, напротив, должно быть равным НМЦК.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Title"/>
        <w:ind w:firstLine="540"/>
        <w:jc w:val="both"/>
        <w:outlineLvl w:val="0"/>
      </w:pPr>
      <w:r>
        <w:t xml:space="preserve">Незаконное отклонение заявок при закупках с </w:t>
      </w:r>
      <w:proofErr w:type="gramStart"/>
      <w:r>
        <w:t>универсальной</w:t>
      </w:r>
      <w:proofErr w:type="gramEnd"/>
      <w:r>
        <w:t xml:space="preserve"> предквалификацией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Normal"/>
        <w:ind w:firstLine="540"/>
        <w:jc w:val="both"/>
      </w:pPr>
      <w:r>
        <w:t xml:space="preserve">Участника </w:t>
      </w:r>
      <w:hyperlink r:id="rId21">
        <w:r>
          <w:rPr>
            <w:color w:val="0000FF"/>
          </w:rPr>
          <w:t>отстранили</w:t>
        </w:r>
      </w:hyperlink>
      <w:r>
        <w:t xml:space="preserve"> от закупки с </w:t>
      </w:r>
      <w:hyperlink r:id="rId22">
        <w:r>
          <w:rPr>
            <w:color w:val="0000FF"/>
          </w:rPr>
          <w:t>универсальной предквалификацией</w:t>
        </w:r>
      </w:hyperlink>
      <w:r>
        <w:t xml:space="preserve"> из-за неполного комплекта документов, хотя он предоставил для подтверждения опыта номер реестровой записи.</w:t>
      </w:r>
    </w:p>
    <w:p w:rsidR="00F5126A" w:rsidRDefault="00F5126A">
      <w:pPr>
        <w:pStyle w:val="ConsPlusNormal"/>
        <w:spacing w:before="220"/>
        <w:ind w:firstLine="540"/>
        <w:jc w:val="both"/>
      </w:pPr>
      <w:r>
        <w:t xml:space="preserve">ФАС </w:t>
      </w:r>
      <w:hyperlink r:id="rId23">
        <w:r>
          <w:rPr>
            <w:color w:val="0000FF"/>
          </w:rPr>
          <w:t>решила</w:t>
        </w:r>
      </w:hyperlink>
      <w:r>
        <w:t xml:space="preserve">, что заказчик поступил незаконно. Постановление N 2571 </w:t>
      </w:r>
      <w:hyperlink r:id="rId24">
        <w:r>
          <w:rPr>
            <w:color w:val="0000FF"/>
          </w:rPr>
          <w:t>разрешает</w:t>
        </w:r>
      </w:hyperlink>
      <w:r>
        <w:t xml:space="preserve"> указывать номер реестровой записи для прохождения универсальной предквалификации.</w:t>
      </w:r>
    </w:p>
    <w:p w:rsidR="00F5126A" w:rsidRDefault="00F5126A">
      <w:pPr>
        <w:pStyle w:val="ConsPlusNormal"/>
        <w:ind w:firstLine="540"/>
        <w:jc w:val="both"/>
      </w:pPr>
    </w:p>
    <w:p w:rsidR="00F5126A" w:rsidRDefault="00F5126A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25">
        <w:r>
          <w:rPr>
            <w:i/>
            <w:color w:val="0000FF"/>
          </w:rPr>
          <w:t>Обзор</w:t>
        </w:r>
      </w:hyperlink>
      <w:r>
        <w:rPr>
          <w:i/>
        </w:rPr>
        <w:t xml:space="preserve"> административной практики по Закону N 44-ФЗ октябрь 2024 года</w:t>
      </w:r>
    </w:p>
    <w:p w:rsidR="00F5126A" w:rsidRDefault="00F5126A">
      <w:pPr>
        <w:pStyle w:val="ConsPlusNormal"/>
        <w:spacing w:before="220"/>
        <w:ind w:firstLine="540"/>
        <w:jc w:val="both"/>
      </w:pPr>
      <w:hyperlink r:id="rId26">
        <w:r>
          <w:rPr>
            <w:i/>
            <w:color w:val="0000FF"/>
          </w:rPr>
          <w:t>Обзор</w:t>
        </w:r>
      </w:hyperlink>
      <w:r>
        <w:rPr>
          <w:i/>
        </w:rPr>
        <w:t xml:space="preserve"> судебной практики по Закону N 44-ФЗ октябрь 2024 года</w:t>
      </w:r>
    </w:p>
    <w:p w:rsidR="00F5126A" w:rsidRDefault="00F5126A">
      <w:pPr>
        <w:pStyle w:val="ConsPlusNormal"/>
        <w:spacing w:before="220"/>
        <w:ind w:firstLine="540"/>
        <w:jc w:val="both"/>
      </w:pPr>
      <w:hyperlink r:id="rId27">
        <w:r>
          <w:rPr>
            <w:i/>
            <w:color w:val="0000FF"/>
          </w:rPr>
          <w:t>Обзор</w:t>
        </w:r>
      </w:hyperlink>
      <w:r>
        <w:rPr>
          <w:i/>
        </w:rPr>
        <w:t xml:space="preserve"> практики рассмотрения жалоб по Закону N 44-ФЗ октябрь 2024 года</w:t>
      </w:r>
    </w:p>
    <w:p w:rsidR="00F5126A" w:rsidRDefault="00F5126A">
      <w:pPr>
        <w:pStyle w:val="ConsPlusNormal"/>
        <w:jc w:val="both"/>
      </w:pPr>
    </w:p>
    <w:p w:rsidR="00F5126A" w:rsidRDefault="00F5126A">
      <w:pPr>
        <w:pStyle w:val="ConsPlusNormal"/>
        <w:jc w:val="both"/>
      </w:pPr>
    </w:p>
    <w:p w:rsidR="00F5126A" w:rsidRDefault="00F512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0D7" w:rsidRDefault="005340D7">
      <w:bookmarkStart w:id="0" w:name="_GoBack"/>
      <w:bookmarkEnd w:id="0"/>
    </w:p>
    <w:sectPr w:rsidR="005340D7" w:rsidSect="009F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6A"/>
    <w:rsid w:val="005340D7"/>
    <w:rsid w:val="00F5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2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12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2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2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12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2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CJI&amp;n=155720&amp;dst=100036" TargetMode="External"/><Relationship Id="rId13" Type="http://schemas.openxmlformats.org/officeDocument/2006/relationships/hyperlink" Target="https://login.consultant.ru/link/?req=doc&amp;base=CJI&amp;n=155718&amp;dst=100004" TargetMode="External"/><Relationship Id="rId18" Type="http://schemas.openxmlformats.org/officeDocument/2006/relationships/hyperlink" Target="https://login.consultant.ru/link/?req=doc&amp;base=CJI&amp;n=155718&amp;dst=100018" TargetMode="External"/><Relationship Id="rId26" Type="http://schemas.openxmlformats.org/officeDocument/2006/relationships/hyperlink" Target="https://login.consultant.ru/link/?req=doc&amp;base=CJI&amp;n=1557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CJI&amp;n=155716&amp;dst=100025" TargetMode="External"/><Relationship Id="rId7" Type="http://schemas.openxmlformats.org/officeDocument/2006/relationships/hyperlink" Target="https://login.consultant.ru/link/?req=doc&amp;base=LAW&amp;n=486432&amp;dst=18" TargetMode="External"/><Relationship Id="rId12" Type="http://schemas.openxmlformats.org/officeDocument/2006/relationships/hyperlink" Target="https://login.consultant.ru/link/?req=doc&amp;base=CJI&amp;n=155720&amp;dst=100035" TargetMode="External"/><Relationship Id="rId17" Type="http://schemas.openxmlformats.org/officeDocument/2006/relationships/hyperlink" Target="https://login.consultant.ru/link/?req=doc&amp;base=CJI&amp;n=155718&amp;dst=100010" TargetMode="External"/><Relationship Id="rId25" Type="http://schemas.openxmlformats.org/officeDocument/2006/relationships/hyperlink" Target="https://login.consultant.ru/link/?req=doc&amp;base=CJI&amp;n=1557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CJI&amp;n=155718&amp;dst=100008" TargetMode="External"/><Relationship Id="rId20" Type="http://schemas.openxmlformats.org/officeDocument/2006/relationships/hyperlink" Target="https://login.consultant.ru/link/?req=doc&amp;base=RGSS&amp;n=70973&amp;dst=10007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CJI&amp;n=155720&amp;dst=100023" TargetMode="External"/><Relationship Id="rId11" Type="http://schemas.openxmlformats.org/officeDocument/2006/relationships/hyperlink" Target="https://login.consultant.ru/link/?req=doc&amp;base=LAW&amp;n=453861&amp;dst=100008" TargetMode="External"/><Relationship Id="rId24" Type="http://schemas.openxmlformats.org/officeDocument/2006/relationships/hyperlink" Target="https://login.consultant.ru/link/?req=doc&amp;base=LAW&amp;n=486432&amp;dst=10004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6433&amp;dst=100137" TargetMode="External"/><Relationship Id="rId23" Type="http://schemas.openxmlformats.org/officeDocument/2006/relationships/hyperlink" Target="https://login.consultant.ru/link/?req=doc&amp;base=CJI&amp;n=155716&amp;dst=10003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861&amp;dst=100012" TargetMode="External"/><Relationship Id="rId19" Type="http://schemas.openxmlformats.org/officeDocument/2006/relationships/hyperlink" Target="https://login.consultant.ru/link/?req=doc&amp;base=LAW&amp;n=486432&amp;dst=1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861&amp;dst=100006" TargetMode="External"/><Relationship Id="rId14" Type="http://schemas.openxmlformats.org/officeDocument/2006/relationships/hyperlink" Target="https://login.consultant.ru/link/?req=doc&amp;base=LAW&amp;n=486432&amp;dst=18" TargetMode="External"/><Relationship Id="rId22" Type="http://schemas.openxmlformats.org/officeDocument/2006/relationships/hyperlink" Target="https://login.consultant.ru/link/?req=doc&amp;base=LAW&amp;n=492046&amp;dst=12092" TargetMode="External"/><Relationship Id="rId27" Type="http://schemas.openxmlformats.org/officeDocument/2006/relationships/hyperlink" Target="https://login.consultant.ru/link/?req=doc&amp;base=CJI&amp;n=155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2025-06-04T07:17:00Z</dcterms:created>
  <dcterms:modified xsi:type="dcterms:W3CDTF">2025-06-04T07:17:00Z</dcterms:modified>
</cp:coreProperties>
</file>